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08.10.2019, оставленным без изменения постановлением Четырнадцатого арбитражного апелляционного суда от 23.01.2020 и постановлением Арбитражного суда Северо-Западного округа от 03.07.2020, иск удовлетворен.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несоответствие их выводов фактическим 2 обстоятельствам дела, просит отменить указанные судебные акты и направить дело на новое рассмотрение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 факт выполнения предпринимателем обусловленных договором работ в полном объеме и приемки их результата компанией. При таких обстоятельствах, учитывая отсутствие доказательств исполнения ответчиком обязательств по оплате работ, руководствуясь статьями 309, 310, 702, 706, 711, 753 Гражданского кодекса Российской Федерации, разъяснениями, приведенными в пункте 8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суды пришли к выводу о наличии оснований для удовлетворения иска, с чем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Норд»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