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30.09.2020 № 305-ЭС19-14119 (4)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в первом абзаце описательной части допущена опечатка: неверно указаны инициалы заявителя кассационной жалобы Шакировой Эльфии Давудовны. В соответствии со статьей 184, частью 3 статьи 179 Арбитражного процессуального кодекса Российской Федерации эта опечатка подлежит исправлению. Руководствуясь статьями 179,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исправления в первый абзац описательной части определения Верховного Суда Российской Федерации от 30.09.2020 № 305-ЭС19-14119 (4). Вместо «Шакировой Э.Да.» читать «Шакировой Э.Д.».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