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Севастополя от 16.12.2019, оставленным без изменения постановлением Двадцать первого арбитражного апелляционного суда от 27.02.2020, в удовлетворении требований отказано. Постановлением Арбитражного суда Центрального округа от 22.07.2020 указанные судебные акты оставлены без изменения. 2 Общество обратилось в Верховный Суд Российской Федерации с кассационной жалобой, в которой просит названные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Отказывая в удовлетворении заявленных требований, суды исходили из того, что общество пропустило срок на обжалование постановления, наличия объективных и уважительных причин пропуска срока не установлено. Доводы жалобы направлены на переоценку доказательств и установление иных фактических обстоятельств дела, в том числе, относительно момента, с которого подлежит исчислению срок на обжалование постановления, что само по себе не может являться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не приведено.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