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15.10.2019,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13.07.2020,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руководствуясь статьями 309, 328, 330, 401, 405, 406, 421, 431 Гражданского кодекса Российской Федерации, суды первой и апелляционной инстанций пришли к выводу о недоказанности обществом наличия оснований для взыскания с компании неустойки и отказали в удовлетворении иска, с чем впоследствии согласился суд округа.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«Стройтрансгаз»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