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исключении из реестра требований кредиторов должника требований общества с ограниченной ответственностью «Агропродукт» (далее – кредитор) в размере 19 099 910 рублей 14 копеек и 67 255 246 рублей 01 копейки соответственно в превышающем суммы 600 000 рублей размере. Определением Арбитражного суда Оренбургской области от 08.10.2019, оставленным без изменения постановлениями Восемнадцатого арбитражного апелляционного суда от 27.01.2020 и Арбитражного суда Уральского округа от 26.06.2020,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6 статьи 16 Федерального закона от 26.10.2002 № 127-ФЗ «О несостоятельности (банкротстве)» и исходили из отсутствия правовых и фактических оснований для исключения требования кредитора из реестра при недоказанности факта совершения между последним и должником соглашений о расторжении договоров поручительства,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«Оренбург-Иволга» Егоровой Светлане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