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12.11.2019 в удовлетворении заявленных требований отказано. Постановлением Семнадцатого арбитражного апелляционного суда от 07.02.2020 решение суда первой инстанции изменено, заявленные требования общества удовлетворены частично, оспариваемое решение признано недействительным в части доначисления налога на прибыль в сумме 1 534 752 рублей 10 копеек, налога на добавленную стоимость в сумме 2 6 522 819 рублей 88 копеек, соответствующих сумм пени и штрафов, а также в части соответствующих данным доначислениям налогов выводов об увеличении убытков, исчисленных при исчислении налоговой базы по налогу на прибыль и уменьшении исчисленного в завышенном размере налога на добавленную стоимость, в удовлетворении остальной части заявленных требований отказано. Постановлением Арбитражного суда Уральского округа от 30.06.2020 постановление суда апелляционной инстанции отменено, решение суда первой инстанции оставлено в силе. В кассационной жалобе, поступившей в Верховный Суд Российской Федерации, общество просит отменить постановление суда округа в части несогласия с выводами суда апелляционной инстанции, считая его принятым с существенным нарушением норм материального и процессуального права в указанной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руководствуясь положениями статей 21, 146, 149, 154, 166, 171, 247, 252 Налогового кодекса Российской Федерации, а также разъяснениями, изложенными в постановлении Пленума Высшего 3 Арбитражного Суда Российской Федерации от 12.10.2006 № 53 «Об оценке арбитражными судами обоснованности получения налогоплательщиком налоговой выгоды», признал обоснованными выводы судов первой и апелляционной инстанций о применении обществом схемы «дробления бизнеса» с целью минимизации налоговых обязательств, не установив ошибок в расчетах налогового органа при определении дополнительно вмененных обществу налоговых обязательств, тогда как контррасчет налоговых обязательств обществом не представлен, сумма неинкассированной выручки, направленной на выплату заработной платы, не учитывалась налоговым органом при определении налоговых обязательств. Приведенные в жалобе доводы были предметом рассмотрения судов первой и кассационной инстанций и получили исчерпывающую правовую оценку применительно к установленным обстоятельствам.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