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06.12.2018, оставленным без изменения постановлением Восьмого арбитражного апелляционного суда от 23.04.2019, заявленные требования удовлетворены частично, признано недействительным оспариваемое решение в части привлечения общества к налоговой ответственности по пункту 1 статьи 119 Налогового кодекса Российской Федерации, в удовлетворении остальной части заявленных требований отказано. Постановлением Арбитражного суда Западно-Сибирского округа от 28.08.2019 указанные судебные акты по эпизоду доначисления налога на добавленную стоимость по ставке 18%, а также по привлечению к ответственности по статье 122 Налогового кодекса Российской Федерации, отменены, дело в указанной части направлено на новое рассмотрение в суд первой инстанции, в остальной части судебные акты оставлены без изменения. В кассационной жалобе, поступившей в Верховный Суд Российской Федерации, общество просит отменить обжалуемые судебные акты за исключением той части, в которой суды согласились с доводами налогоплательщика,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удовлетворения жалобы. Как следует из судебных актов, налоговый орган доначислил налоги по общей системе налогообложения в связи с превышением лимита выручки по упрощенной системе налогообложения в результате занижения доходов, заключения мнимых договоров на осуществление субподрядных работ, тогда как указанные работы фактически выполнялись самим налогоплательщиком. Оценив представленные доказательств, руководствуясь положениями статей 45 , 52 , 249 , 346.11 , 346.12 , 346.14 , 346.15 , 346.17 Налогового кодекса Российской Федерации, суды признали решение налогового органа в обжалуемой части законным, установив, что деятельность общества свидетельствует о создании схемы, направленной на уклонение от уплаты налогов по общей системе налогообложения. Приведенные в жалобе доводы подлежат отклонению исходя из установленных судами обстоятельств заключения мнимых договоров, а не дробления бизнеса. Доводы жалобы были предметом рассмотрения судов и получили исчерпывающую правовую оценку в обжалуемых судебных актах,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Согласно части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указанного ходатайства не имеется.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 Последние документы по делу: Определение от 30 октября 2020 г. по делу № А70-9571/2018 Определение от 23 декабря 2019 г. по делу № А70-9571/2018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