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23.07.2019, оставленным без изменения постановлением Девятого арбитражного апелляционного суда от 21.01.2020 и постановлением Арбитражного суда Московского округа от 06.07.2020, иск удовлетворен.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 Гражданского кодекса Российской Федерации, суды первой и апелляционной инстанций, с которыми впоследствии согласился суд округа, пришли к выводу о наличии оснований для удовлетворения иска, исходя из подтвержденности наличия и размера задолженности общества перед компанией.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«Колизей»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