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Центральное информационно-техническое таможенное управление (далее – истец) обратилось в Арбитражный суд города Москвы с иском к обществу с ограниченной ответственностью «АТ Груп» (далее – ответчик) о взыскании 836 725 рублей 65 копеек неустойки и 2 374 000 рублей штрафа по государственному контракту от 01.06.2017 № 017310015217000012-0377794-01, а ответчик, в свою очередь, заявил встречный иск о взыскании с истца 2 838 рублей 73 копеек неустойки. 2 Решением Арбитражного суда города Москвы от 20.12.2019, оставленным без изменения постановлением Девятого арбитражного апелляционного суда от 24.03.2020, в удовлетворении первоначального и встречного исков отказано. Арбитражный суд Московского округа постановлением от 09.07.2020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проанализировав условия заключенного между истцом – заказчиком и ответчиком – исполнителем государственного контракта, установив, что по спорным заявкам у исполнителя отсутствовала возможность выполнения работ, указанных в заявках, в связи с дефектами систем заказчика и не предоставлением заказчиком исполнителю необходимых для осуществления работ технических возможностей, т.е. по обстоятельствам, зависящим от заказчика, а также что государственный заказчик не несет ответственности за несвоевременную оплату выполненных работ, обусловленную несвоевременным поступлением денежных средств из федерального бюджета, суды пришли к выводу об отсутствии оснований для удовлетворения первоначального и встречного исков.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 применительно к условиям контракта, в том числе относительно осведомленности заказчика о 3 невозможности исполнения заявок ввиду недостатков целевых систем заказчика, обслуживаемых иными подрядчиками.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истца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