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казенное учреждение города Севастополя «Управление по эксплуатации объектов городского хозяйства» (далее – истец) обратилось в Арбитражный суд города Севастополя с иском к акционерному обществу «Севастопольское управление дорожного строительства» о взыскании 2 855 108 рублей 78 копеек, в т.ч. штраф в размере 2 058 366 рублей 85 копеек, пени в размере 712 661 рублей 09 копеек и суммы неосновательного обогащения в размере 84 080 рублей 84 копеек по государственному контракту 2 от 09.09.2016 № 16-РД-ЕП, с учетом уточнения исковых требований в порядке статьи 49 Арбитражного процессуального кодекса Российской Федерации. К участию в деле в качестве третьих лиц, не заявляющих самостоятельных требований относительно предмета спора, привлечены Контрольно-счетная палата города Севастополя и Правительство Севастополя. Решением Арбитражного суда города Севастополя от 07.11.2019, оставленным без изменения постановлением Двадцать первого арбитражного апелляционного суда от 23.03.2020, с ответчика в пользу истца взыскано неосновательное обогащение в сумме 84 080 рублей 84 копейки и штраф в размере 1 026 933 рублей 43 копейки, в удовлетворении остальной части требований истцу отказано. Арбитражный суд Центрального округа постановлением от 08.07.2020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подрядчиком по заключенному с истцом (заказчиком) государственному контракту, ответчик нарушил обязательства по срокам и объемам выполненных работ, проанализировав условия контракта, руководствуясь положениями Гражданского кодекса Российской Федерации, суды, определив действительный период просрочки выполнения работ, удовлетворили требования истца в соответствующей части, применив при этом положения статьи 333 Гражданского кодекса Российской Федерации. 3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обстоятельств дела применительно к заключению контракта, его условиям и расчету, подлежащей взысканию неустойки, а также относительно соразмерности определенной судом мерой ответственности ответчика последствиям допущенного нарушения обязательства. Судебные расходы распределены судами в соответствии с абзацем 2 части 1 статьи 110 Арбитражного процессуального кодекса Российской Федерации пропорционально размеру удовлетворенных исковых требований. Доводы истца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истца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