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«Пирамида» обратилось в суд с заявлением об отмене плана реструктуризации долгов должника. Должник обратился в суд с заявлением, впоследствии объединённым с вышеуказанным заявлением в одно производство для совместного рассмотрения, об исключении требований обществ с ограниченной ответственностью «Пирамида» и «Группа компаний «Алгоритм», а также предпринимателя из реестра требований кредиторов должника. Определением Арбитражного суда Челябинской области от 05.02.2020 в удовлетворении заявления общества «Пирамида» отказано, заявление должника удовлетворено. Не согласившись с названным судебным актом, заявитель обратился в Восемнадцатый арбитражный апелляционный суд с апелляционной жалобой. Определением Восемнадцатого арбитражного апелляционного суда от 11.03.2020, оставленным без изменения постановлением Арбитражного суда Уральского округа от 16.06.2020, апелляционная жалоба возвращена заявителям на основании пункта 1 части 1 статьи 264 Арбитражного 2 процессуального суда Российской Федерации как поданная лицом, не имеющим права на обжалование судебного акта в порядке апелляционного производства. В кассационной жалобе, поданной в Верховный Суд Российской Федерации, заявитель просит отменить названные судебные акты,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руководствовался статьёй 264 Арбитражного процессуального кодекса Российской Федерации, пунктами 1, 4 статьи 36 Федерального закона от 26.10.2002 № 127-ФЗ «О несостоятельности (банкротстве)» и исходил из того, та была подписана представителем заявителя по доверенности, не содержащей специального права на обжалование судебных актов арбитражных судов. Проверяя обоснованность возврата жалобы заявителя, судебная коллегия окружного не установила нарушений норм процессуального права и согласилась с указанными выводами, допустив возможность повторного обращения заявителя с апелляционной жалобой, оформленной в соответствии с требованиями процессуального законодательства, в том числе, указав на её право участия в судебном заседании и представление своих возражений при рассмотрении принятых к производству апелляционным судом жалоб обществ «Пирамида» и «Группа компаний «Алгоритм». Указанные обстоятельства, вопреки приведённым в кассационной жалобе доводам, не свидетельствовали о лишении стороны по рассматриваемому делу права на судебную защиту.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Шаповаловой Ольге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