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 и все необходимые документы к ходатайству приложены, суд приходит к выводу о необходимости предоставления отсрочки уплаты государственной пошлины. Руководствуясь статьями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«Промтехстрой» удовлетворить. Предоставить обществу с ограниченной ответственностью «Промтехстрой» отсрочку уплаты государственной пошлины в размере 3 000 рублей до окончания производства по его кассационной жалобе. Судья Е.С. Корнелюк Суд: Верховный Суд РФ (подробнее) Истцы: ООО "ПромТехСтрой" (подробнее) Иные лица: ГУ МВД России по Москве (подробнее) ГУ МВД России по Московской области Управление по вопросам миграции (подробнее) МИФНС №25 ПО г.Москве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