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04.10.2019 оспариваемое постановление признано незаконным и отменено в части суммы штрафа, превышающей 184 999 145 рублей 34 копеек. 2 Постановлением Тринадцатого арбитражного апелляционного суда от 25.02.2020 решение суда первой инстанции изменено, оспариваемое постановление отменено в части штрафа, превышающего 100 000 рублей, в удовлетворении остальной части заявленных требований отказано. Постановлением Арбитражного суда Северо-Западного округа от 06.07.2020 постановление суда апелляционной инстанции отменено, решение суда первой инстанции оставлено в силе. Общество обратилось в Верховный Суд Российской Федерации с кассационной жалобой, ссылаясь на допущенные, по его мнению, судом округа существенные нарушения норм материального и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основанием для привлечения к ответственности послужили выводы антимонопольного органа о злоупотреблении обществом доминирующим положением на рынке оказания услуг в морском порту, выразившимся в принятии и утверждении Руководства, противоречащего нормам действующего законодательства в области морского судоходства. Отменяя постановление суда апелляционной инстанции и оставляя в силе решение суда первой инстанции, суд округа руководствовался положениями Федерального закона от 26.07.2006 № 135-ФЗ «О защите конкуренции», Федерального закона от 17.08.1995 № 147-ФЗ «О естественных монополиях», Федерального закона от 08.11.2007 № 261-ФЗ «О морских портах в Российской Федерации и о внесении изменений в отдельные законодательные акты Российской Федерации», Правил недискриминационного доступа к услугам субъектов естественных монополий в портах, утвержденных постановлением Правительства Российской Федерации от 20.10.2017 № 1285, и исходил из установленного судами в рамках другого арбитражного дела (при проверке 3 законности решения антимонопольного органа) рынка нарушения, что является расчетной базы для исчисления штрафа в настоящем деле. Доводы жалобы были предметом исследования судов первой и кассационной инстанций и получили исчерпывающую правовую оценку в обжалуемых судебных актах, не согласиться с которой оснований не имеется. Указанные доводы не свидетельствуют о существенных нарушениях судом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