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казенное учреждение «Федеральное управление автомобильных дорог «Урал» Федерального дорожного агентства» (далее – истец) обратилось в Арбитражный суд Свердловской области с иском к обществу с ограниченной ответственностью «ПодъемМостСервис» (далее – ответчик) о взыскании пеней за просрочку выполнения работ за период с 01.10.2017 по 19.10.2017 и штрафа за ненадлежащую организацию рабочего места в общей сумме 1 267 262 рублей 61 копеек. Решением Арбитражного суда Свердловской области от 17.12.2019, оставленным без изменения постановлением Семнадцатого арбитражного 2 апелляционного суда от 28.02.2020, с ответчика в пользу истца взыскано 49 108 рублей 41 копейка пеней, 500 000 штрафа, 25 673 рублей расходов по уплате государственной пошлине. Арбитражный суд Уральского округа постановлением от 02.07.2020 оставил без изменения решение суда первой инстанции и постановление суда апелляционной инстанции. Ответчик обратился в Верховный Суд Российской Федерации с кассационной жалобой на указанные судебные акты, в которой просит их отменить в части взыскания 500 000 рублей штрафа и принять новый судебный акт по делу в этой части, снизив размер штрафа до 100 000 рублей.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в материалы дела доказательства и установив, что являясь подрядчиком по заключенному с истцом (заказчиком) государственному контракту, ответчик нарушил срок выполнения работ, а также требования к организации места проведения работ, руководствуясь положениями Гражданского кодекса Российской Федерации, принимая во внимание условия контракта, суды пришли к выводу о правомерности требований истца и удовлетворили их, применив положения статьи 333 Гражданского кодекса Российской Федерации и снизив размер начисленного штрафа с 1 218 154 рублей 20 копеек до 500 000 рублей. Обжалуя в Верховный Суд Российской Федерации судебные акты в части взыскания штрафа в размере 500 000 рублей, ответчик приводит доводы о необходимости снижения его до 100 000 рублей. Вместе с тем указанные доводы являлись предметом рассмотрения судов апелляционной и кассационной инстанций и получили правовую оценку с учетом установленных обстоятельств дела относительно соразмерности определенной судом мерой 3 ответственности ответчика последствиям допущенного нарушения обязательства. Доводы ответчика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Изложенные в жалобе доводы ответчика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ответчика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