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обратился в суд с требованием о включении в реестр требований кредиторов должника задолженности в размере 1 400 000 рублей. Определением Арбитражного суда города Москвы от 28.10.2019, оставленным без изменения постановлениями Девятого арбитражного апелляционного суда от 10.02.2020 и Арбитражного суда Московского округа от 21.07.2020, во включении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183.16, 183.26 Федерального закона от 26.10.2002 № 127-ФЗ «О несостоятельности (банкротстве)», статьями 9, 32.8 Закона Российской Федерации от 27.11.1992 № 4015-1 «Об организации страхового дела в Российской Федерации»,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того, что обязательства должника по договору страхования прекратились в силу специальной нормы закона, а не оговоренного сторонами события – признания его банкротом, приняли во внимание факт обращения заявителя за досрочным возвратом денежных средств после прекращения действия названного договора, в связи с чем пришли к выводу о недоказанности наступления страхового случая и отсутствии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Моисееву Виктору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