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совокупно совершённых между должником и Богатырёвым Игорем Геннадьевичем (далее – кредитор) сделок: договора денежного займа от 25.10.2016 № 25/10/2016; зачёта взаимных требований, совершенного на основании соглашения о зачёте взаимных требований от 04.04.2017; применении последствий недействительности сделок. Определением Арбитражного суда города Санкт-Петербурга и Ленинградской области от 08.12.2019, оставленным без изменения постановлениями Тринадцатого арбитражного апелляционного суда от 12.03.2020 и Арбитражного суда Северо-Западного округа от 30.06.2020,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 – 61.3 Федерального закона от 26.10.2002 № 127-ФЗ «О несостоятельности (банкротстве)», пунктами 1, 8,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не установили совокупность условий для признания недействительными оспариваемых договора денежного займа и соглашения о зачёте по основаниям неравноценного встречного исполнения и оказания предпочтения кредитору, чьё требование по итогам разрешения иного обособленного спора признано обоснованным и включено в реестр требований о передаче жилых помещений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«Авто-Альянс»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