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«ПМХ-Транспорт»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«Уралтранссервис» 1 360 689 рублей 18 копеек расходов по договору и 77 559 рублей 28 копеек пени. Решением Арбитражного суда города Москвы от 05.12.2019 иск удовлетворен в части взыскания 1 360 689 рублей 18 копеек; производство по делу в части требования о взыскании пени прекращено в связи с отказом истца от иска в указанной части и его принятия судом. Постановлением Девятого арбитражного апелляционного суда от 11.03.2020 решение суда первой инстанции оставлено без изменения. Арбитражный суд Московского округа постановлением от 14.07.2020 указанные судебные акты оставил без изменения. Общество с ограниченной ответственностью «Уралтранссервис» обратилось в Судебную коллегию по экономическим спорам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нарушение принятых обязательств по договору крытые вагоны не были промыты грузополучателями заказчика после перевозки груза; ответчиком не представлены документы, подтверждающие отсутствие остатков груза в вагонах в виде россыпи, следов загрязнений, специфического запаха, а также доказательства осуществления промывки, очистки крытых вагонов после перевозки опасного груза, руководствуясь положениями статей 309 , 310 , 784 Гражданского кодекса Российской Федерации, статьей 44 Федерального закона от 10.01.2003 № 18-ФЗ «Устав железнодорожного транспорта Российской Федерации», суды пришли к выводу об обоснованности заявленного требования.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«Уралтранссервис»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"ПМХ-ТРАНСПОРТ" (подробнее) Ответчики: ООО "УралТрансСервис"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