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в реестр требований кредиторов должника задолженности в размере 68 596 123 рублей. Определением Арбитражного суда Свердловской области от 18.12.2019 заявление удовлетворено. Постановлением Семнадцатого арбитражного апелляционного суда от 02.03.2020, оставленным без изменения постановлением Арбитражного суда Уральского округа от 02.07.2020, вышеуказанное определение изменено; требование общества признано обоснованным и подлежащим удовлетворению в очерёдности, предшествующей распределению ликвидационной квоты. В порядке статьи 42 Арбитражного процессуального кодекса Российской Россети обратились с кассационной жалобой в Верховный суд Российской Федерации, в которой просят привлечь их в качестве заинтересованного лица к рассмотрению спора; отменить постановления судов апелляционной инстанции и округа, направить дело на новое рассмотрение. В кассационной жалобе, поданной в Верховный Суд Российской Федерации, общество также просит отменить постановления судов 2 апелляционной инстанции и округа, однако настаивает на оставлении в силе определения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Изменяя принятый по спору судебный акт и понижая очередность удовлетворения требования общества, апелляционный суд руководствовался статьями 19, 71, 100, 142 Федерального закона от 26.10.2002 № 127-ФЗ «О несостоятельности (банкротстве)», разъяснениями, содержащимися в Обзоре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утверждённом Президиумом Верховного Суда Российской Федерации от 29.01.2020, и исходил из того, что последнее как кредитор при наличии существенной задолженности не востребовало её с должника как сделал бы любой иной участник гражданского оборота и не прекратило с ним договорных отношений, в связи с чем пришёл к правильному выводу о предоставлении аффилированному должнику компенсационного финансирования в ситуации имущественного кризиса, не способного конкурировать с требованиями иных независимых кредиторов и подлежащего удовлетворению в очерёдности, предшествующей распределению ликвидационной квоты.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Несогласие заявителей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«Российские сети» и акционерному обществу «Недвижимость ИЦ ЕЭС»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