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заявлением об исключении из конкурсной массы поименованных в нём земельных участков и автотранспортного средства. Определением Арбитражного суда Ростовской области от 07.10.2019, оставленным без изменения постановлениями Пятнадцатого арбитражного апелляционного суда от 07.03.2020 и Арбитражного суда Северо-Кавказского округа от 30.06.2020, в удовлетворении требований отказано. В кассационных жалобах, поданных в Верховный Суд Российской Федерации, заявители просят отменить указанные судебные акты. Конкурный управляющий полным товариществом настаивает на необходимости направления дела на новое рассмотрение, а должник – на принятии нового судебного акта об удовлетворении её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Отказывая в исключении имущества из конкурсной массы, суды первой и апелляционной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23, 257 Гражданского кодекса Российской Федерации, статьёй 131 Федерального закона от 26.10.2002 № 127-ФЗ «О несостоятельности (банкротстве), положениями Федерального закона от 11.06.2003 № 74-ФЗ «О крестьянском (фермерском) хозяйстве» и Федерального закона от 24.07.2002 № 101-ФЗ «Об обороте земель сельскохозяйственного назначения», исходили из того, что последнее использовалось в предпринимательской деятельности для ведения сельского хозяйства, включено в состав фермерского хозяйства, общее имущество членов крестьянского (фермерского) хозяйства не формировалось, решений о наделении последнего определённым имуществом не принималось, а иные члены помимо должника участия в нём не принимали. С указанными выводами впоследствии согласился суд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полным товариществом «Петрушкан Сергей Петрович и компания» Хасанову Руслану Ибрагимовичу и индивидуальному предпринимателю главе крестьянского (фермерского) хозяйства Петрушкан Марине Анатольевне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