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ФИО2 обратилась в суд с заявлением о признании недействительной сделки, направленной на прекращение обязательств должника перед обществом путём зачёта встречных однородных требований на основании актов выполненных работ за период с 30.06.2019 по 30.09.2019 на общую сумму 17 315 169 рублей 81 копейка; применении последствий недействительности сделки. Определением Арбитражного суда Хабаровского края от 04.02.2020, оставленным без изменения постановлениями Шестого арбитражного апелляционного суда от 14.05.2020 и Арбитражного суда Дальневосточного округа от 26.06.2020,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Хабаровского края.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2, 61.1, 61.3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доказанности финансовым управляющим совокупности условий для признания оспариваемого зачёта, совершённого после принятия заявления о признании должника банкротом в отношении ранее возникшей задолженности, недействительной сделкой по признаку оказания обществу предпочтения в отношении удовлетворения его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«Светлое»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Ответчики: ИП Иванов Анатолий Викторович (подробнее) Иные лица: Комитет по управлению муниципальным имуществом Охотского муниципального района Хабаровского края (подробнее) ООО "Парус"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