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«Галан» обратилось в Арбитражный суд Краснодарского края с иском о взыскании с индивидуального предпринимателя ФИО1 130 000 рублей неосновательного обогащения и 130 800 рублей неустойки. Решением Арбитражного суда Краснодарского края от 29.01.2020 иск удовлетворен в части взыскания 130 000 рублей неосновательного обогащения и 60 896 рублей неустойки, в удовлетворении иска в остальной части отказано. Постановлением Пятнадцатого арбитражного апелляционного суда от 13.05.2020 решение суда первой инстанции оставлено без изменения. Арбитражный суд Северо-Кавказского округа постановлением от 11.08.2020 указанные судебные акты оставил без изменения.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предприниматель, получив предварительную оплату по договору оказания возмездных услуг, обязательства по договору в установленные сроки, надлежащего объема и качества не исполнил, в связи с чем общество в одностороннем порядке отказалось от исполнения договора, руководствуясь положениями статей 329 . 330 , 450.1 , 453 , 715 , 720 , 779 , 782 , 1102 Гражданского кодекса Российской Федерации, суды сделали вывод об обоснованности иска.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"Галан" (подробнее) Ответчики: ИП Угаров И. В.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