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31.12.2019, оставленным без изменения постановлением Десятого арбитражного апелляционного суда от 17.03.2020 и постановлением Арбитражного суда Московского округа от 30.07.2020, иск удовлетворен. В кассационной жалобе, поданной в Верховный Суд Российской Федерации, министерство, ссылаясь на нарушение судами норм материального права, несоответствие их выводов фактическим обстоятельствам дела, просит отменить указанные судебные акты и принять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инстанции установили, что общество выполнило обязательства по заключенному с учреждением договору от 22.05.2000 № 1/20/00 (далее – договор) и передало последнему 19 квартир, рыночная стоимость которых составила 198 189 000 руб. Поскольку учреждение не исполнило встречные обязательства по договору, расторгнутому вступившим в законную силу решением Арбитражного суда Московской области от 31.05.2018 по делу № А41-22171/2018 в связи с изменившимся законодательством Российской Федерации и невозможностью исполнения договора по указанной причине, руководствуясь статьями 123.21 , 1102 , 1105 Гражданского кодекса Российской Федерации, статьями 158 , 242.3 Бюджетного кодекса Российской Федерации, суды пришли к выводу о наличии оснований для удовлетворения иска, с чем впоследствии согласился суд округа. Доводы кассационной жалобы были предметом рассмотрения судов и получили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науки и высшего образования Российской Федерации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"Ресурс" (подробнее) Ответчики: Министерство науки и высшего образования Российской Федерации (подробнее) ФГБУ НАУКИ ИНСТИТУТ ЛЕСОВЕДЕНИЯ РОССИЙСКОЙ АКАДЕМИИ НАУК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