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как контролирующего должника лица к субсидиарной ответственности по обязательствам должника. Определением Арбитражного суда города Санкт-Петербурга и Ленинградской области от 06.12.2019, оставленным без изменения постановлениями Тринадцатого арбитражного апелляционного суда от 31.03.2020 и Арбитражного суда Северо-Западного округа от 30.06.2020, заявление признано обоснованным, производство по обособленному спору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61.11,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наличие совокупности условий для привлечения заявителя как бывшего руководителя должника к субсидиарной ответственности ввиду неисполнения без уважительных причин обязанности по передаче конкурсному управляющему документации и имущества должника, препятствующих формированию конкурсной массы и проведению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"МАУНТЭК" (подробнее) Ответчики: ООО "ДС-СИТИ" (подробнее) Иные лица: в/у Котов Никита Андреевич (подробнее) ИП Сейткасимова Ажар Габдыгапаровна (подробнее) к/у Котов Никита Андреевич (подробнее) МИФНС №11 по СПб (подробнее) нац АРБИТР (подробнее) ООО "Северный Модерн" (подробнее) УПФР в Центральном районе СПб (подробнее) Федеральная налоговая служба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