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«Федеральная грузовая компания» обратилось в Арбитражный суд города Москвы с иском о взыскании с акционерного общества «ВЭБ-Лизинг» 13 915 699 рублей 88 копеек неосновательного обогащения вследствие переплаты арендной платы. Решением Арбитражного суда города Москвы от 12.12.2019 иск удовлетворен. Постановлением Девятого арбитражного апелляционного суда от 05.03.2020 решение суда первой инстанции оставлено без изменения. Арбитражный суд Московского округа постановлением от 08.07.2020 указанные судебные акты оставил без изменения. Акционерное общество «ВЭБ-Лизинг»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1102 , 1103 Гражданского кодекса Российской Федерации, суды сделали вывод о наличии на стороне ответчика неосновательного обогащения в виде уплаченных истцом арендных платежей за время нахождения вагонов в ремонте и обязании возвратить истцу неосновательное обогащение.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«ВЭБ-Лизинг»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"Федеральная грузовая компания" (подробнее) Ответчики: АО "ВЭБ-лизинг"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