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12.08.2019 взысканы судебные расходы на оплату услуг представителя заявителя Борисова Михаила Анатольевича с указанием на удовлетворение в порядке пункта 3 статьи 137 Федерального закона от 26.10.2002 № 127-ФЗ «О несостоятельности (банкротстве)» в составе требований третьей очереди реестра требований кредиторов отдельно, в удовлетворении требований в остальной части отказано. Представитель заявителя Борисов М.А. обратился в суд с заявлением об исправлении опечаток в вышеуказанном определении. Определением Арбитражного суда города Москвы от 23.09.2019, оставленным без изменения постановлениями Девятого арбитражного апелляционного суда от 19.12.2019 и Арбитражного суда Московского округа от 16.07.2020, заявление удовлетворено. В кассационной жалобе, поданной в Верховный Суд Российской Федерации, заявитель просит отменить указанные судебные акты в части отказа во взыскании государственной пошлины в размере 150 рублей при подаче кассационной жалобы в Верховный Суд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в обжалуемой части, суд первой инстанции руководствовался положениями статьи 179 Арбитражного процессуального кодекса Российской Федерации, действовал в соответствии с процессуальным законом, в рамках предоставленных ему полномочий и не нарушил ни принципа правовой определенности, ни законные интересы лиц, участвующих в деле, поскольку исправление указанной заявителем опечатки направлено на изменение содержания судебного акта, что действующим процессуальным законодательством не допускается. Проверяя обоснованность отказа в удовлетворении требований заявителя, суды апелляционной инстанции и округа не установили нарушений норм процессуального права и согласились с указанными выводами. Выводы соответствуют нормам права, оснований для переоценки этих выводов не имеется. Существенных нарушений норм процессуального права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Клещёву Денису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