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17.01.2020 заявление истца о взыскании с ответчика 426 088 рублей судебных расходов удовлетворено на сумму в 326 088 рублей. Постановлением Одиннадцатого арбитражного апелляционного суда от 04.06.2020, оставленным без изменения постановлением Арбитражного суда Поволжского округа от 13.08.2020, определение от 17.01.2020 отменено: взыскано 91 088 рублей судебных расходов. В кассационной жалобе общество «Промсервис» просит об отмене судебных актов в отношении не взысканной части судебных расходов, ссылаясь на необоснованное уменьшение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Рассматривая заявление о судебных расходах, суды руководствовались постановлением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статьями 101 , 106 , 110 Арбитражного процессуального кодекса Российской Федерации и обстоятельствами рассмотрения дела. Суды проверили соответствие заявленных судебных расходов критериям разумности и обоснованности, определенным законом и судебной практикой, и установили разумную и обоснованную сумму затрат, понесенных истцом в связи с рассмотрением дела, во взысканном размере. Доводы жалобы сводятся к иной оценке обстоятельств несения расходов, не создающей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"Промсервис" (подробнее) Ответчики: ОАО "АЗОТРЕММАШ" (подробнее) Иные лица: Арбитражный суд Поволжского округа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