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23.10.2019, оставленным без изменения постановлением Пятнадцатого арбитражного апелляционного суда от 27.12.2019 и постановлением Арбитражного суда Северо-Кавказского округа от 22.06.2020, иск удовлетворен. В кассационной жалобе общество просит отменить судебные акты, ссылаясь на отсутствие доказательств образования задолженности вследствие неоплаты услуг и ненадлежащее извещение о начавшемся судебном процессе.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неоплату обществом оказанных предприятием по договорам от 19.01.2017 № 58, от 29.01.2018 № 64, от 20.02.2019 № 373 услуг, удовлетворили иск в соответствии со статьями 779,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 Апелляционный суд отклонил довод общества о ненадлежащем извещении о начавшемся процессе, установив направление определения о принятии искового заявления по актуальному адресу. Довод в отношении образования сальдо в пользу предприятия рассмотрен апелляционным судом и отклонен как не подтвержденный расчетом, платежными документами, другими доказательствами.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«Хлеб-Сервис»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