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октября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19.11.2019, оставленным без изменения постановлением Девятого арбитражного апелляционного суда от 03.03.2020 и постановлением Арбитражного суда Московского округа от 26.06.2020, иск удовлетворен. В кассационной жалобе общество просит о пересмотре судебных актов, ссылаясь на отсутствие основания для взыскания штрафа и злоупотребление правом со стороны истца.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 договорный характер взыскиваемого штрафа и нарушение обществом обязательства, за которое согласовано применение штрафа, поэтому удовлетворили иск в соответствии с договором № ТЛ/240/18 от 18.04.2018 и статьями 309 , 310 , 330 , 779 Гражданского кодекса Российской Федерации. Доводы кассационной жалобы не подтверждают нарушения норм права и не составляют оснований для пересмотра обжалуемого судебного акта Верховным Судом Российской Федерации в кассационном порядке.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«ТрансЛом»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ГУП города Москвы "Мосгортранс" (подробнее) Ответчики: ООО "ТрансЛом"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