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12.12.2019, оставленным без изменения постановлением Девятого арбитражного апелляционного суда от 06.02.2020, в удовлетворении иска отказано. Арбитражный суд Московского округа постановлением от 22.06.2020 решение от 12.12.2019 и постановление Девятого арбитражного апелляционного суда от 06.02.2020 оставил без изменения. В кассационных жалобах заявители просят об отмене судебных актов, ссылаясь на неверное толкование условий договора, ненадлежащую оценку доказательств и несоответствие выводов судов обстоятельствам дела.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Суды, исследовав содержание правоотношений сторон по договору услуг от 19.12.2016 № 7/02/16, установили, что оказанные третьим лицом ответчику услуги не входили в предмет договора, поэтому разрешили дело в соответствии с договором и статьями 431, 779, 781 Гражданского кодекса Российской Федерации. Иная оценка заявителями исполнения обязательств, к которой сводятся доводы кассационных жалоб, не образует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Поваляеву М.Н. и гражданке Глазуриной Е.А.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