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12.12.2019, оставленным без изменения постановлением Девятого арбитражного апелляционного суда от 06.02.2020, в удовлетворении иска отказано. Арбитражный суд Московского округа постановлением от 22.06.2020 решение от 12.12.2019 и постановление Девятого арбитражного апелляционного суда от 06.02.2020 оставил без изменения. В кассационных жалобах заявители просят об отмене судебных актов, ссылаясь на неверное толкование условий договора, ненадлежащую оценку доказательств и несоответствие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Суды, исследовав содержание правоотношений сторон по договору услуг от 19.12.2016 № 7/02/16, установили, что оказанные третьим лицом ответчику услуги не входили в предмет договора, поэтому разрешили дело в соответствии с договором и статьями 431 , 779 , 781 Гражданского кодекса Российской Федерации. Иная оценка заявителями исполнения обязательств, к которой сводятся доводы кассационных жалоб,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и гражданке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"АПТЕКА-А.В.Е"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