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12.12.2019, оставленным без изменения постановлением Тринадцатого арбитражного апелляционного суда от 25.02.2020 и постановлением Арбитражного суда Северо-Западного округа от 18.06.2020, в удовлетворении иска отказано. В кассационной жалобе общество «СтройСервисГрупп» просит отменить судебные акты, ссылаясь на несоответствие выводов об объеме и качестве оказанных услуг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наличии основания для отказа ответчика от принятия оказанных услуг подтверждены исследованными судами доказательствами исполнения договора на оказание возмездных услуг от 14.12.2018 № ПЗМ/02/2018/03 и соответствуют статьям 309 , 779 , 781 Гражданского кодекса Российской Федерации. Вопросы доказывания и оценки доказательств, на которых основаны доводы жалобы, не составляют оснований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"СтройСервисГрупп" (подробнее) Ответчики: АО "ИНЖИНИРИНГОВАЯ КОМПАНИЯ "АЭМ-ТЕХНОЛОГИИ"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