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20.12.2019, оставленным без изменения постановлением Двенадцатого арбитражного апелляционного суда от 05.03.2020, по первоначальному иску взыскано 165 399 рублей 06 копеек убытков, во встречном иске отказано. Арбитражный суд Поволжского округа постановлением от 26.06.2020 решение от 20.12.2019 и постановление Двенадцатого арбитражного апелляционного суда от 05.03.2020 оставил без изменения. В кассационной жалобе общество «Комлед» просит об отмене судебных актов, ссылаясь на неотносимость принятых доказательств к причине неисправности товара, необоснованность размера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признали доказанным поставку ответчиком некачественного товара по итогу исследования и оценки доказательств исполнения договора поставки от 07.05.2018 № ГК-07/05-2018, к которым правильно применили нормы статей 15 , 393 , 469 , 476 , 506 , 518 Гражданского кодекса Российской Федерации. Требуемое заявителем изменение оценки причины некачественности части товара не составляет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«Комлед»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"АЭМ Комплекс" (подробнее) ООО Подсеваткин К.Г. Представитель "АЭМ Комплекс" (подробнее) Ответчики: ООО "ГК "Катод" (подробнее) ООО "ГРУППА КОМПАНИЙ "КАТОД"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