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21.10.2019, оставленным без изменения постановлением Шестнадцатого арбитражного апелляционного суда от 23.01.2020, исковые требования удовлетворены в заявленном размере. Арбитражный суд Северо-Кавказского округа постановлением от 03.07.2020 решение от 21.10.2019 и постановление Шестнадцатого арбитражного апелляционного суда от 23.01.2020 оставил без изменения. В кассационной жалобе фонд просит об отмене судебных актов, ссылаясь на ошибочные выводы судов в отношении обязанности оплатить услуги до заключения договора и после заключения на условиях истца.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правомерно учитывали, что обстоятельством, влияющим на оплату медицинских услуг, является не договор, а наличие у истца статуса медицинского учреждения, действующего в сфере обязательного медицинского страхования и оказание им предусмотренных программой ОМС услуг, что установлено судами.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Территориальному фонду обязательного медицинского страхования Ставропольского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