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03.12.2019, оставленным без изменения постановлением Девятого арбитражного апелляционного суда от 10.03.2020, исковые требования удовлетворены частично. Арбитражный суд Московского округа постановлением от 30.06.2020 решение от 03.12.2019 и постановление Девятого арбитражного апелляционного суда от 10.03.2020 оставил без изменения. В кассационной жалобе акционерное общество «Прогноз» просит об отмене судебных актов, ссылаясь на незаконное признание необоснованным произведенного им зачета начисленной истцу за просрочку поставки товара неустойки.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силу статьи 410 Гражданского кодекса Российской Федерации прекращает обязательство зачет существующего требования. Суды установили отсутствие у ответчика права на зачтенную им неустойку в связи с недопущением истцом просрочки поставки товара, а реализацией им договорного права на приостановление поставки до оплаты товара покупателем (ответчиком). Мотивы непринятия зачета соответствуют договору от 19.12.2018 № 144/12-2018 и обстоятельствам его исполнения.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«Прогноз»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"СОВРЕМЕННЫЕ ГОРНЫЕ РЕШЕНИЯ" (подробнее) Ответчики: АО "ПРОГНОЗ"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