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23.10.2019, оставленным без изменения постановлением Девятого арбитражного апелляционного суда от 24.01.2020 и постановлением Арбитражного суда Московского округа от 19.06.2020, иск удовлетворен. В кассационной жалобе общество «Леди Фортуна Продакшн» просит о пересмотре судебных актов, ссылаясь на отсутствие неосновательного обогащения и несоблюдение истцом претензионного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395 , 1102 Гражданского кодекса Российской Федерации и судебной практикой, суд правомерно удовлетворил иск, установив получение и удержание ответчиком не предназначавшихся в силу закона либо договора денежных средств. Вопросы досудебного порядка урегулирования спора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«Леди Фортуна Продакшн»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"Автоматизация Энергетических Производств" (подробнее) Ответчики: ООО "ЛЕДИ ФОРТУНА ПРОДАКШН"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