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15.08.2019 взыскано 21 451 252 рубля неустойки. Тринадцатый арбитражный апелляционный суд постановлением от 03.03.2020 изменил решение от 15.08.2019 и уменьшил взыскиваемую неустойку до 9 109 435 рублей 78 копеек. Арбитражный суд Северо-Западного округа постановлением от 25.06.2020 постановление Тринадцатого арбитражного апелляционного суда от 03.03.2020 оставил без изменения. В кассационной жалобе акционерное общество «Корпорация «Трансстрой» просит о пересмотре судебных актов, ссылаясь на отсутствие вины банка в просрочке платежа, недобросовестность истца, неправильный период начисления неустойки недостаточное ее уменьшение.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3 статьи 401 Гражданского кодекса Российской Федерации ответственность в предпринимательских отношениях применяется независимо от вины. Установление обстоятельств, влияющих на размер неустойки, отнесено к компетенции нижестоящих судов и требуемое в жалобе изменение оценки таких обстоятельств не составляет оснований для пересмотра принятых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«Трансстрой»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Санкт-Петербургское государственное казенное учреждение "Дирекция транспортного строительства" (подробнее) Ответчики: ПАО Банк ВТБ (подробнее) Иные лица: АО "КОРПОРАЦИЯ" "ТРАНСТРОЙ" (подробнее) Межрайонная инспекция Федеральной налоговой службы №7 по Санкт-Петербургу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