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16.12.2019, оставленным без изменения постановлением Девятого арбитражного апелляционного суда от 28.02.2020 и постановлением Арбитражного суда Московского округа от 23.06.2020, в удовлетворении иска отказано. В кассационной жалобе общество «Стерк» просит об отмене судебных актов, ссылаясь на изменение правового основания иска и ненадлежащие исследование и оценку доказательств.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недоказанным истцом исполнения по поручению ответчика большего, нежели предусмотрено договором от 01.02.2016, объема обязательств (пункт 3 статьи 1103 Гражданского кодекс Российской Федерации, на который ссылается заявитель).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«Стерк»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"СТЕРК" (подробнее) Ответчики: ООО "БОКСБЕРРИ-ПАРТНЕР"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