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31.10.2019, оставленным без изменения постановлением Девятого арбитражного апелляционного суда от 30.01.2020, в удовлетворении иска отказано. Арбитражный суд Московского округа постановлением от 03.07.2020 решение от 31.10.2019 и постановление Девятого арбитражного апелляционного суда от 30.01.2020 оставил без изменения. В кассационной жалобе предприниматель просит о пересмотре судебных актов, ссылаясь на отсутствие оценки бездействия страховщика в вопросе согласования порядка и перечня работ по восстановлению транспортного средства.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что согласование порядка возмещения убытков и перечня подлежащих выполнению ремонтных работ осуществлялось с участием предпринимателя, достигшего со страховщиком соглашения о восстановлении транспортного средства и принявшего его из ремонта без замечаний в том числе по сроку ремонта. Это обстоятельство правомерно оценено судом в качестве отсутствия нарушения ответчиком страхового обязательства, влекущего в силу статей 15 , 393 Гражданского кодекса Российской Федерации отказ во взыскании убытков.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Ответчики: ПАО СК Росгосстрах (подробнее) Судьи дела: Ксенофонтова Н.А.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