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31.07.2019, оставленным без изменения постановлением Восемнадцатого арбитражного апелляционного суда от 01.11.2019 и постановлением Арбитражного суда Уральского округа от 16.06.2020, иск удовлетворен. В кассационной жалобе комбинат просит об отмене судебных актов вследствие необоснованного отказа в уменьшении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влияющих на размер неустойки (статья 333 Гражданского кодекса Российской Федерации) в пределах данного дела,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«Уфимский комбинат хлебопродуктов»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"Автотранс" (подробнее) Ответчики: ОАО "Уфимский комбинат хлебопродуктов"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