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октября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города Москвы от 12.02.2020, оставленным без изменения постановлением Девятого арбитражного апелляционного суда от 29.06.2020 и постановлением Арбитражного суда Московского округа от 12.08.2020, производство по делу прекращено в связи с отказом от иска; в возмещении организации судебных расходов отказано. В кассационной жалобе организация просит об отмене судебных актов в части отказа во взыскании судебных расходов, ссылаясь на игнорирование судами несения их вследствие оставления ответчиком претензии без ответа.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2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Суды установили, что спор возник в связи с уступкой организации третьим лицом несуществующего требования и одновременно удовлетворение ответчиком всех притязаний третьего лица, что исключает признание заявленных расходов возникшими из-за злоупотребления ответчиком процессуальными правами и взыскание их на основании части 1 статьи 111 Арбитражного процессуального кодекса Российской Федерации как одного из проявлений такого злоупотребления.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Региональной общественной организации инвалидов «Отрада»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