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«Хронос-Сервис» (далее – Общество) обратилось в Арбитражный суд Иркутской области с иском, уточненным в порядке статьи 49 Арбитражного процессуального кодекса Российской Федерации (далее – АПК РФ), к ФИО1 об обязании предоставить документы, перечисленные в просительной части искового заявления. Решением Арбитражного суда Иркутской области от 17.12.2019, оставленным без изменения постановлением Четвертого арбитражного апелляционного суда от 02.06.2020 и постановлением Арбитражного суда Восточно-Сибирского округа от 18.08.2020,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неправомерные выводы судебных инстанций о том, что ответчик передал новому директору Общества все имеющиеся на момент ее увольнения документы.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в период с 01.12.2011 по 01.08.2018 являлась генеральным директором Общества. С 02.08.2018 единоличным исполнительным органом ответчика является ФИО2. В адрес ответчика Обществом 26.07.2019 направлено требование о передаче документов новому директору (учредительных документов и бухгалтерской отчетности). Ссылаясь на неисполнение данного требования,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32, 40, 50 Федерального закона от 08.02.1998 № 14-ФЗ «Об обществах с ограниченной ответственностью», положениями Федерального закона от 06.12.2011 № 402-ФЗ «О бухгалтерском учете»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отказали в удовлетворении требований, придя к выводу о передаче ответчиком в связи с ее увольнением с должности директора Общества новому руководителю всей имеющейся документации при отсутствии замечаний со стороны нового единоличного исполнительного органа относительно полноты и комплектности передаваемой документации в течение длительного времени.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«Хронос-Сервис»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"Хронос-Сервис"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