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«ЭнергоГранд» (далее – Общество) обратилось в Арбитражный суд города Москвы с иском, уточненным в порядке статьи 49 Арбитражного процессуального кодекса Российской Федерации (далее – АПК РФ), к Ассоциации строительных организаций «Стройспецмонтажсервис» (далее – Ассоциация) о взыскании 978 333 рублей 34 копеек неосновательного обогащения и 49 908 рублей 40 копеек процентов за пользование чужими денежными средствами. К участию в деле в качестве третьего лица, не заявляющего самостоятельных требований относительно предмета спора, привлечена Ассоциация «Общероссийская негосударственная некоммерческая организация -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 (далее – НОСТРОЙ). Решением Арбитражного суда города Москвы от 17.12.2019, оставленным без изменения постановлением Девятого арбитражного апелляционного суда от 28.02.2020 и постановлением Арбитражного суда Московского округа от 30.06.2020,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согласно сведениям, содержащимся в выписке из Единого реестра членов саморегулируемых организаций информация о членстве истца в Ассоциации отсутствует, в связи с чем все взносы, направленные Обществом, являются неосновательным обогащением ответчика.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подало заявление о вступлении в члены Ассоциации, по результатам рассмотрения которого ответчик выдал истцу свидетельство от 16.06.2017. Общество в период с июня 2017 года по июль 2018 года перечислило Ассоциации денежные средства на общую сумму 978 333 рубля 34 копейки. Ссылаясь на то, что Общество не включено в Национальный реестр членов саморегулируемых организаций, что исключает возможность для него осуществлять деятельности в сфере строительства, истец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55.6 Градостроительного кодекса Российской Федерации, суды отказали в удовлетворении требований, установив, что по результатам рассмотрения заявления Общества о вступлении в саморегулируемую организацию истцу было выдало свидетельство; согласно информации, размещенной в сети «Интернет» на сайте http://reestr.nostroy.ru/, истец являлся членом ответчика.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«ЭнергоГранд»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"ЭНЕРГОГРАНД" (подробнее) Ответчики: АССОЦИАЦИЯ СТРОИТЕЛЬНЫХ ОРГАНИЗАЦИЙ "СТРОЙСПЕЦМОНТАЖСЕРВИС"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