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Ершова Г.А. и Хрусталёва Е.В. обратились в суд с заявлением о пересмотре по вновь открывшимся обстоятельствам определения Арбитражного суда города Москвы от 07.08.2019 о завершении конкурсного производства. Определением Арбитражного суда города Москвы от 13.01.2020, оставленным без изменения постановлениями Девятого арбитражного апелляционного суда от 08.06.2020 и Арбитражного суда Московского округа от 04.08.2020, в удовлетворении заявления отказано. В кассационной жалобе, поданной в Верховный Суд Российской Федерации, заявители просят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 руководствовался положениями статей 309-312 Арбитражного процессуального кодекса Российской Федерации, пунктом 18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 из того, что указанное в нём обстоятельство не являлось вновь открывшимся в силу осведомлённости о нём заявителей на дату рассмотрения ходатайства конкурсного управляющего о завершении конкурсного производства, с чем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Ершовой Галине Александровне и Хрусталёвой Елене Васильевне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