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Москвы с иском о признании недействительными решений внеочередного общего собрания участников общества с ограниченной ответственностью «Белтранслогистик» (далее – Общество), оформленных протоколом от 16.08.2019. Решением Арбитражного суда города Москвы от 10.12.2019, оставленным без изменения постановлением Девятого арбитражного апелляционного суда от 10.03.2020 и постановлением Арбитражного суда Московского округа от 23.06.2020,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 на его позднее извещение о проведении общего собрания участников Общества, а именно, получение уведомления менее чем за 30 дней до голосования, отмечая, что не мог подготовиться к собранию, так как находился за переделами Российской Федерации.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ФИО1 являлся участником Общества, которому принадлежало 20% доли уставного капитала юридического лица. Также участниками Общества являются: ФИО2, владеющий долей в размере 1,5% уставного капитала, ФИО3, владеющий долей в размере 1,5% уставного капитала, ФИО4, владеющий долей в размере 24% уставного капитала, ФИО5, владеющая долей в размере 24% уставного капитала, ФИО6, владеющая долей в размере 20% уставного капитала, ФИО7, владеющий долей в размере 9% уставного капитала. Как установили суды, 28.08.2019 в Единый государственный реестр юридических лиц (далее – ЕГРЮЛ) внесены изменения в сведения об Обществе в части увеличения его уставного капитала и размера долей, принадлежащих его участникам, а также устава. Решениями оспариваемого собрания уставный капитал Общества был увеличен с 1 000 000 рублей до 41 000 000 рублей, в связи с чем доли участников распределились следующим образом: 1,8658536585% - ФИО2, 1,8658536585% - ФИО3, 29,8536585366% - ФИО4, 29,8536585366%ФИО5, 24,8780487805% - Лагун Е.Н, 11,1951219512% - ФИО7, 0,487804878% - ФИО1 В обоснование исковых требований ФИО1 указал на то, что он не участвовал в собрании участников Общества по причине его позднего извещения. Исследовав и оценив по правилам статьи 71 АПК РФ представленные доказательства, руководствуясь статьями 8, 36, 37, 43 Федерального закона от 08.02.1998 № 14-ФЗ «Об обществах с ограниченной ответственностью», суды отказали в удовлетворении требований, придя к выводу об отсутствии нарушений при созыве и проведении общего собрания участников Общества. Судебными инстанциями было учтено, что увеличение уставного капитала было обусловлено необходимостью погашением долга, а также для заключения мирового соглашения с закрытым акционерным обществом «ТД «БелАЗ».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"БЕЛТРАНСЛОГИСТИК"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