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октября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заявитель обратился в Верховный Суд Российской Федерации с кассационной жалобой, одновременно ходатайствуя о восстановлении пропущенного срока её подачи. Рассмотрев ходатайство о восстановлении процессуального срока, суд находит его подлежащим удовлетворению. Руководствуясь статьями 117, 184, 291.2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срок подачи кассационной жалобы на определение Арбитражного суда Вологодской области от 26.06.2019, постановление Четырнадцатого арбитражного апелляционного суда от 08.11.2019 и постановление Арбитражного суда Северо-Западного округа от 20.08.2020 по делу № А13-15167/2015 восстановить. Судья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