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269 537 339 рублей. Определением Арбитражного суда Челябинской области от 16.09.2019, оставленным без изменения постановлениями Восемнадцатого арбитражного апелляционного суда от 17.02.2020 и Арбитражного суда Уральского округа от 25.06.2020,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недоказанности на стороне должника неисполненного обязательства перед компанией как аффилированным лицом, поступления в распоряжение должника заёмных денежных средств и их фактического расходования последним, в связи с чем не установили оснований для включения заявленной задолженности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«Анатрол Лимитед»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