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требования в размере 6 273 118 рублей 56 копеек. Определением Арбитражного суда Новгородской области от 22.01.2020, оставленным без изменения постановлениями Четырнадцатого арбитражного апелляционного суда от 14.05.2020 и Арбитражного суда Северо-Западного округа от 28.07.2020,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результатов проведённой судебной экспертизы в соответствии с правилами главы 7 Арбитражного процессуального кодекса Российской Федерации, руководствуясь статьями 15, 393, 720-724, 740, 755 Гражданского кодекса Российской Федерации, статьями 71, 100 Федерального закона от 26.10.2002 № 127-ФЗ «О несостоятельности (банкротстве)», исходили из недоказанности факта причинения обществу убытков действиями должника, причинно-следственной связи между его поведением и наступившим ущербом, не связанным с проводимыми им работами, в связи с чем отказали в удовлетворении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«САУЕРЕССИГ»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