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12.10.2018 произведена замена взыскателя должника на его правопреемника ФИО1. Впоследствии должник обратился в суд с заявлением о пересмотре указанного определения по вновь открывшимся обстоятельствам. Определением Арбитражного суда Свердловской области от 16.03.2020, оставленным без изменения постановлениями Семнадцатого арбитражного апелляционного суда от 17.06.2020 и Арбитражного суда Уральского округа от 25.08.2020, заявление удовлетворено. В кассационной жалобе, поданной в Верховный Суд Российской Федерации, заявитель просит отменить указанные судебные акты.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Удовлетворяя заявление, суд первой инстанции руководствовался статьями 309 , 311 Арбитражного процессуального кодекса Российской Федерации, разъяснениями, приведёнными в постановлении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 и исходил из того, что приводимые в нём обстоятельства являлись существенными и новыми, поскольку были связаны с признанием недействительной сделки, повлекшей за собой принятие оспариваемого судебного акта. С выводами суда впоследствии согласились суды апелляционной инстанции и округа.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заявителем в жалобе доводы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Общество с ограниченно ответственностью "Европа-старт" (подробнее) ООО "ЕВРОПА-СТАРТ" (подробнее) ООО "Злата Печка" (подробнее) ООО "Консалтинг+" (подробнее) ООО "УРАЛСТРОЙСПОРТ" (подробнее) ООО "ФАКТОР-А" (подробнее) Ответчики: ООО "РК ПАРТНЕР" (подробнее) Иные лица: Инспекция Федеральной налоговой службы по Верх-Исетскому району г. Екатеринбурга (подробнее) ООО "Весна" (подробнее) ООО "ГРИЗЛИ БАР СУРГУТ АУРА" (подробнее) ООО "РК ПАРТНЕРЫ" (подробнее) ООО "Электросетевая компания "Рост" (подробнее) Управление Федеральной службы государственной регистрации, кадастра и картографии по Свердловской области (подробнее) УФССП России по Свердловской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