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Научно-исследовательский институт «Земля и город» (далее – истец) обратилось в Арбитражный суд с иском к администрации Кувшиновского района Тверской области (далее – ответчик) о взыскании 1 024 000 рублей задолженности по оплате работ, выполненных по муниципальному контракту от 03.09.2013 № 10 (далее – контракт), 585 397 рублей 62 копеек неустойки, начисленной за период с 16.01.2014 по 13.11 2019 на основании пункта 8.6 контракта, а также неустойки, начисленной за период с 14.11.2019 по день фактического погашения задолженности на основании пункта 8.6 контракта, с учетом уточнения требований в порядке статьи 49 Арбитражного процессуального кодекса Российской Федерации. Решением Арбитражного суда Тверской области от 02.12.2019, оставленным без изменения постановлением Четырнадцатого арбитражного апелляционного суда от 20.02.2020, с ответчика в пользу истца взыскано 152 400 рублей долга, 10 533 рублей 38 копеек неустойки, начисленной за период с 30.12.2018 по 13.11.2019 на основании пункта 8.6 контракта, неустойка, начисленная за период с 14.11.2019 по день фактической оплаты основного долга на основании пункта 8.6 контракта, 2 733 рублей расходов по оплате государственной пошлины, в удовлетворении остальной части требований истцу отказано. Арбитражный суд Северо-Западного округа постановлением от 25.06.2020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 в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суды пришли к выводу о наличии у ответчика – заказчика по контракту обязанности оплатить выполненные истцом – подрядчиком работы за третий этап по контракту с учетом истечения срока давности по оплате работ за первый и второй этапы по контракту. Как установлено судами, истец в декабре 2013 года и в марте 2014 года направлял ответчику подписанные со своей стороны акты сдачи-приемки выполненных работ по первому и второму этапам контракта. Ответчик не заявлял возражения по представленным актам приема-передачи, мотивированный отказ от их подписания истцу не направлял и 19.03.2015 частично погасил задолженность в сумме 500 000 рублей. Учитывая условия контракта о порядке и сроках оплаты конкретных этапов работ, суды пришли к выводу о том, что с иском о взыскании задолженности по оплате выполненных работ за первый и второй этапы истец обратился 19.08.2019 за пределами трехлетнего срока исковой давности.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удовлетворили заявленные требования истца в соответствующей части.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дела, связанных с действиями сторон при исполнении условий контракта.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истца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Научно-исследовательский институт "Земля и город" (подробнее) Ответчики: Администрация Кувшиновского района Тверской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