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Гурченко Кирилл Алексеевич обратился в суд с заявлением об обязании агентства принять исключенное из конкурсной массы имущество должника согласно прилагаемому перечню. Определением Арбитражного суда Красноярского края от 22.11.2019, оставленным без изменения постановлениями Третьего арбитражного апелляционного суда от 10.03.2020 и Арбитражного суда Восточно-Сибирского округа от 23.06.2020,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129, 131, 132, 148 Федерального закона от 26.10.2002 № 127-ФЗ «О несостоятельности (банкротстве)», статьи 2 Федерального закона от 21.07.1997 № 116-ФЗ «О промышленной безопасности опасных производственных объектов», исходили из того, что находящееся в неисправном и не пригодном для дальнейшей безопасной эксплуатации состоянии спорное имущество подлежит передаче в федеральную собственность в лице соответствующего федерального органа исполнительной власти, а функции конкурсного управляющего по управлению и распоряжению подобным изъятым из оборота и экологически опасным имуществом выходят за рамки его полномочий.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данными выводами судов,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Межрегиональному территориальному управлению Федерального агентства по управлению имуществом в Красноярском крае, Республике Хакасия и Республики Тыва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